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Montserrat" w:cs="Montserrat" w:eastAsia="Montserrat" w:hAnsi="Montserrat"/>
          <w:b w:val="1"/>
          <w:color w:val="ff6600"/>
          <w:sz w:val="32"/>
          <w:szCs w:val="3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2"/>
          <w:szCs w:val="32"/>
          <w:highlight w:val="white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2"/>
          <w:szCs w:val="32"/>
          <w:highlight w:val="white"/>
          <w:rtl w:val="0"/>
        </w:rPr>
        <w:t xml:space="preserve">endencias del comercio electrónico en 2021. 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center"/>
        <w:rPr>
          <w:rFonts w:ascii="Montserrat" w:cs="Montserrat" w:eastAsia="Montserrat" w:hAnsi="Montserrat"/>
          <w:b w:val="1"/>
          <w:color w:val="ff6600"/>
          <w:sz w:val="32"/>
          <w:szCs w:val="3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2"/>
          <w:szCs w:val="32"/>
          <w:highlight w:val="white"/>
          <w:rtl w:val="0"/>
        </w:rPr>
        <w:t xml:space="preserve">Los retos y oportunidades que enfrentan las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  <w:rtl w:val="0"/>
        </w:rPr>
        <w:t xml:space="preserve">La contingencia sanitaria impulsó los cambios en las tendencias del comercio electrónico debido al cambio digital del comportamiento de los consumidores.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  <w:rtl w:val="0"/>
        </w:rPr>
        <w:t xml:space="preserve">Fiserv ayuda a simplificar el e-commerce en México para impulsar el crecimiento de las empresas mediante soluciones </w:t>
      </w:r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  <w:rtl w:val="0"/>
        </w:rPr>
        <w:t xml:space="preserve">omnicanales</w:t>
      </w:r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0"/>
          <w:szCs w:val="20"/>
          <w:highlight w:val="white"/>
          <w:rtl w:val="0"/>
        </w:rPr>
        <w:t xml:space="preserve"> en procesamiento de pagos.</w: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XX de febrero de 2020.-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líder mundial en tecnología financiera y de pagos, presentó el webinar “Tendencias del comercio electrónico en 2021: retos y oportunidades” para profundizar sobre los retos en aceptación de tarjetas y crecimiento de ventas que actualmente enfrentan las empresas ante el panorama por el Covid-19.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sesión fue presidida por el director comercial y de marketing en Fiserv México, Sergio Yhigal Villarruel Macías, el director de producto para comercio digital en Fiserv, Omega García; experimentados especialistas en comercio, asociaciones estratégicas, servicios financieros y tecnología digital de pagos. 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Los puntos más destacados durante este webinar fueron los siguientes: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México y su potencial en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e-commerce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México alcanzó en ventas digitales de 631 mil millones de pesos en 2019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un crecimiento del 28.6% respecto al 2018.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progreso del comercio electrónico en el país avanzaba lentamente debido a que el comportamiento del consumidor se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enfocaba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en la compra en tiendas y con transacciones con tarjetas físicas.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Sergio Villarruel destacó que 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experiencia de compra presencial que se vive en México todavía es dominante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sin embargo se pronostica que el comercio en línea pasará a ser de dos dígitos en ventas en aproximadamente tres o cinco años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ello es recomendable que las empresas comiencen a ofrecer más canales de pago y buscar soluciones que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soporten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una alta facturación sin ser impactadas por la tasas de intereses,  y que brinden una mayor seguridad en su negocio y transacción de sus clientes.</w:t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Un antes y después: el boom digital tras la pandemia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El aislamiento social detonó el consumo digital en todas sus vertientes y también potenció negocios de bajo o nulo contacto social. De acuerdo a la Asociación de Internet MX, los sectores que tuvieron un repunte y continuarán con un crecimiento son movilidad, servicios de streaming y comercio electrónico.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Omega García agregó que en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2020 el comercio electrónico en retail creció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81% a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nivel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nacional en comparación con 2019, lo que equivale a 316,000 millones de pesos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de acuerdo con el Estudio de venta online 2021 de la Asociación Mexicana de Venta Online (AMVO).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De igual manera,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este año las tendencias más relevantes son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el social selling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el live streaming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y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click and collect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entre otros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Sin embargo,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la omnicanalidad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será una de las soluciones digitales con mayor alcance para el procesamiento de la compraventa de productos y servicios por internet durante lo que resta del año.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“2021 dará una amplia apertura  a los servicios de omnicanalidad en el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e-commerce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Es un modelo que muchos comercios han comenzado a adoptar para el incremento de sus ventas de manera integral de forma física y digital. De igual forma, mejora las experiencias de consumo en relación con el perfil del cliente, principalmente en la personalización de las compras y pagos”,  mencionó García. 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Retos y oportunidades de adaptabilidad digital en 2021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digitalización es sinónimo de competitividad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El equipo de Fiserv recomienda a los negocios implementar más soluciones de aceptación de pagos que incrementen sus alternativas para consolidar sus ventas. Además,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subrayaron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la importancia de la adaptabilidad para mantenerse vigentes en el mercado.  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En 2019, el 60% de las compras en México se realizaron mediante un dispositivo móvil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Con seguridad esta cifra se incrementará, lo que podría rebasar las actuales herramientas de control y procesamiento en el volumen de ventas y captación de ingresos que poseen las empresas. Quienes utilicen estos canales deberán optar por opciones disruptivas en seguridad y eficiencia”, aseguró García. 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Paralelo al acelerado crecimiento que experimentan las empresas como consecuencia del ascenso del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Fiserv se presenta como socio estratégico para capitalizar esa expansión de negocios. La empresa se especializa en el procesamiento de pagos con distintas alternativas tecnológicas ya sea comercios físicos, electrónicos y mixtos. 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“Contamos con soluciones como terminales de puntos de venta físicas y móviles, soluciones e-commerce, ventas por call center 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integraciones en caja, 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as cuales se encuentran en una sola plataforma omnicanal. Un sistema unificado permite a los negocios de cualquier dimensión brindar más alternativas de pago a sus clientes, lo que se traduce en un mayor volumen de ventas y ganancias”, indicó Villarruel. “A nuestra propuesta de valor se suma tecnología y certificaciones en ciberseguridad que están al mismo nivel de blindaje que las de un banco” , resaltó el directivo. 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 tiene experiencia local y global al aumentar el nivel de ventas de clientes tanto de iniciativa privada como pública. La compañía ha ayudado simplificar el comercio para negocios, gobiernos,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retail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cadenas mundiales, hoteles, hospitales, escuelas, y colegios en más de 100 países. 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El webinario finalizó con una invitación por parte de Sergio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Villarruel y Omega García para pensar sobre el valor que tendrá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e-commerce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en los próximos años.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*****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Empresa líder mundial en tecnología financiera y de pagos, la empresa ayuda a sus clientes a lograr los mejores resultados de su industria mediante un compromiso con la innovación y la excelencia en áreas como el procesamiento de cuentas y soluciones de banca digital, procesamiento y emisor de tarjetas, servicios de red, pagos,  comercio electrónico, adquirencia y procesamiento de pagos para comercios y empresas, Fiserv es miembro del Índice S&amp;P 500® y figura entre las empresas más admiradas del mundo por la revista FORTUNE®.</w:t>
      </w:r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Visite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https://merchants.fiserv.com/es-mx</w:t>
        </w:r>
      </w:hyperlink>
      <w:r w:rsidDel="00000000" w:rsidR="00000000" w:rsidRPr="00000000">
        <w:rPr>
          <w:rFonts w:ascii="Trebuchet MS" w:cs="Trebuchet MS" w:eastAsia="Trebuchet MS" w:hAnsi="Trebuchet MS"/>
          <w:color w:val="465a6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siga en los medios sociales para obtener más información y las últimas noticias de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 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 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     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Página web: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  <w:tab/>
        <w:tab/>
        <w:tab/>
        <w:t xml:space="preserve">ASISTENTE DE CUENTA</w:t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  <w:tab/>
        <w:tab/>
        <w:tab/>
        <w:tab/>
        <w:tab/>
        <w:tab/>
        <w:t xml:space="preserve">Michelle Palma</w:t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39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michelle.palma@another.co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  <w:tab/>
        <w:tab/>
        <w:tab/>
        <w:tab/>
        <w:tab/>
        <w:tab/>
        <w:t xml:space="preserve">55 2299 6398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419"/>
        <w:tab w:val="right" w:pos="8838"/>
        <w:tab w:val="left" w:pos="3450"/>
      </w:tabs>
      <w:spacing w:line="240" w:lineRule="auto"/>
      <w:rPr>
        <w:rFonts w:ascii="Montserrat" w:cs="Montserrat" w:eastAsia="Montserrat" w:hAnsi="Montserrat"/>
        <w:b w:val="1"/>
        <w:color w:val="ff6600"/>
        <w:sz w:val="38"/>
        <w:szCs w:val="38"/>
        <w:highlight w:val="white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rge.sanchez@another.co" TargetMode="External"/><Relationship Id="rId10" Type="http://schemas.openxmlformats.org/officeDocument/2006/relationships/hyperlink" Target="https://merchants.fiserv.com/es-mx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michelle.palma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oWqenelNyhJZc_fj3M09pg" TargetMode="External"/><Relationship Id="rId5" Type="http://schemas.openxmlformats.org/officeDocument/2006/relationships/styles" Target="styles.xml"/><Relationship Id="rId6" Type="http://schemas.openxmlformats.org/officeDocument/2006/relationships/hyperlink" Target="https://merchants.fiserv.com/es-mx" TargetMode="External"/><Relationship Id="rId7" Type="http://schemas.openxmlformats.org/officeDocument/2006/relationships/hyperlink" Target="https://www.facebook.com/fiservmexico/?epa=SEARCH_BOX" TargetMode="External"/><Relationship Id="rId8" Type="http://schemas.openxmlformats.org/officeDocument/2006/relationships/hyperlink" Target="https://www.instagram.com/fiservmexi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